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numPr>
          <w:ilvl w:val="0"/>
          <w:numId w:val="1"/>
        </w:numPr>
      </w:pPr>
      <w:r>
        <w:t xml:space="preserve">rész szakirodalom</w:t>
      </w:r>
      <w:r/>
    </w:p>
    <w:p>
      <w:r/>
      <w:r/>
    </w:p>
    <w:tbl>
      <w:tblPr>
        <w:tblStyle w:val="605"/>
        <w:tblW w:w="0" w:type="auto"/>
        <w:tblInd w:w="-147" w:type="dxa"/>
        <w:tblLook w:val="04A0" w:firstRow="1" w:lastRow="0" w:firstColumn="1" w:lastColumn="0" w:noHBand="0" w:noVBand="1"/>
      </w:tblPr>
      <w:tblGrid>
        <w:gridCol w:w="1605"/>
        <w:gridCol w:w="2274"/>
        <w:gridCol w:w="1804"/>
        <w:gridCol w:w="1758"/>
        <w:gridCol w:w="1768"/>
      </w:tblGrid>
      <w:tr>
        <w:trPr/>
        <w:tc>
          <w:tcPr>
            <w:tcW w:w="160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Szerző</w:t>
            </w:r>
            <w:r/>
          </w:p>
        </w:tc>
        <w:tc>
          <w:tcPr>
            <w:tcW w:w="227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Cím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Kiadó</w:t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Kiadás helye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Kiadás éve</w:t>
            </w:r>
            <w:r/>
          </w:p>
        </w:tc>
      </w:tr>
      <w:tr>
        <w:trPr/>
        <w:tc>
          <w:tcPr>
            <w:tcW w:w="1605" w:type="dxa"/>
            <w:textDirection w:val="lrTb"/>
            <w:noWrap w:val="false"/>
          </w:tcPr>
          <w:p>
            <w:pPr>
              <w:jc w:val="left"/>
            </w:pPr>
            <w:r>
              <w:t xml:space="preserve">Grierson</w:t>
            </w:r>
            <w:r>
              <w:t xml:space="preserve">, Philip</w:t>
            </w:r>
            <w:r/>
          </w:p>
        </w:tc>
        <w:tc>
          <w:tcPr>
            <w:tcW w:w="2274" w:type="dxa"/>
            <w:textDirection w:val="lrTb"/>
            <w:noWrap w:val="false"/>
          </w:tcPr>
          <w:p>
            <w:pPr>
              <w:jc w:val="left"/>
            </w:pPr>
            <w:r>
              <w:t xml:space="preserve">Numismatics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left"/>
            </w:pPr>
            <w:r>
              <w:t xml:space="preserve">Oxford University Press</w:t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jc w:val="left"/>
            </w:pPr>
            <w:r>
              <w:t xml:space="preserve">London-Oxford-New Yor</w:t>
            </w:r>
            <w:r>
              <w:t xml:space="preserve">k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</w:pPr>
            <w:r>
              <w:t xml:space="preserve">1997.</w:t>
            </w:r>
            <w:r/>
          </w:p>
        </w:tc>
      </w:tr>
      <w:tr>
        <w:trPr/>
        <w:tc>
          <w:tcPr>
            <w:tcW w:w="1605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Káplár László</w:t>
            </w:r>
            <w:r/>
          </w:p>
        </w:tc>
        <w:tc>
          <w:tcPr>
            <w:tcW w:w="2274" w:type="dxa"/>
            <w:textDirection w:val="lrTb"/>
            <w:noWrap w:val="false"/>
          </w:tcPr>
          <w:p>
            <w:pPr>
              <w:jc w:val="left"/>
            </w:pPr>
            <w:r>
              <w:t xml:space="preserve">Pénz, érme, érem. Bevezetés a numizmatikába.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Fiesta </w:t>
            </w:r>
            <w:r>
              <w:t xml:space="preserve">Saxum</w:t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Budap</w:t>
            </w:r>
            <w:r>
              <w:t xml:space="preserve">est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1998.</w:t>
            </w:r>
            <w:r/>
          </w:p>
        </w:tc>
      </w:tr>
      <w:tr>
        <w:trPr/>
        <w:tc>
          <w:tcPr>
            <w:tcW w:w="1605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Mackay</w:t>
            </w:r>
            <w:r>
              <w:t xml:space="preserve">, James</w:t>
            </w:r>
            <w:r/>
          </w:p>
        </w:tc>
        <w:tc>
          <w:tcPr>
            <w:tcW w:w="2274" w:type="dxa"/>
            <w:textDirection w:val="lrTb"/>
            <w:noWrap w:val="false"/>
          </w:tcPr>
          <w:p>
            <w:pPr>
              <w:jc w:val="left"/>
            </w:pPr>
            <w:r>
              <w:t xml:space="preserve">Érmék és éremgyűjtés. A legteljesebb képes enciklopédia. Kézikönyv a világ legcsodálatosabb érméihez, és professzionális útmutató egy látványos éremgyűjtemény felépítéséhez, 3000 színes illusztrációval.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Kossuth Kiadó</w:t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Bu</w:t>
            </w:r>
            <w:r>
              <w:t xml:space="preserve">dapest</w:t>
            </w:r>
            <w:r>
              <w:br/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2010. (második magyar nyelvű kiadás)</w:t>
            </w:r>
            <w:r/>
          </w:p>
        </w:tc>
      </w:tr>
      <w:tr>
        <w:trPr/>
        <w:tc>
          <w:tcPr>
            <w:tcW w:w="1605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Mehlhausen</w:t>
            </w:r>
            <w:r>
              <w:t xml:space="preserve">, Wolfgang J.</w:t>
            </w:r>
            <w:r/>
          </w:p>
        </w:tc>
        <w:tc>
          <w:tcPr>
            <w:tcW w:w="2274" w:type="dxa"/>
            <w:textDirection w:val="lrTb"/>
            <w:noWrap w:val="false"/>
          </w:tcPr>
          <w:p>
            <w:pPr>
              <w:jc w:val="left"/>
            </w:pPr>
            <w:r>
              <w:t xml:space="preserve">Handbuch</w:t>
            </w:r>
            <w:r>
              <w:t xml:space="preserve"> </w:t>
            </w:r>
            <w:r>
              <w:t xml:space="preserve">Münzensammeln</w:t>
            </w:r>
            <w:r>
              <w:t xml:space="preserve">. </w:t>
            </w:r>
            <w:r>
              <w:t xml:space="preserve">Ein</w:t>
            </w:r>
            <w:r>
              <w:t xml:space="preserve"> </w:t>
            </w:r>
            <w:r>
              <w:t xml:space="preserve">Leitfaden</w:t>
            </w:r>
            <w:r>
              <w:t xml:space="preserve"> </w:t>
            </w:r>
            <w:r>
              <w:t xml:space="preserve">für</w:t>
            </w:r>
            <w:r>
              <w:t xml:space="preserve"> </w:t>
            </w:r>
            <w:r>
              <w:t xml:space="preserve">Münzsammler</w:t>
            </w:r>
            <w:r>
              <w:t xml:space="preserve"> und </w:t>
            </w:r>
            <w:r>
              <w:t xml:space="preserve">solche</w:t>
            </w:r>
            <w:r>
              <w:t xml:space="preserve">, </w:t>
            </w:r>
            <w:r>
              <w:t xml:space="preserve">die</w:t>
            </w:r>
            <w:r>
              <w:t xml:space="preserve"> es </w:t>
            </w:r>
            <w:r>
              <w:t xml:space="preserve">werden</w:t>
            </w:r>
            <w:r>
              <w:t xml:space="preserve"> </w:t>
            </w:r>
            <w:r>
              <w:t xml:space="preserve">wollen</w:t>
            </w:r>
            <w:r>
              <w:t xml:space="preserve">. </w:t>
            </w:r>
            <w:r>
              <w:t xml:space="preserve">Tipps</w:t>
            </w:r>
            <w:r>
              <w:t xml:space="preserve">, </w:t>
            </w:r>
            <w:r>
              <w:t xml:space="preserve">Tricks</w:t>
            </w:r>
            <w:r>
              <w:t xml:space="preserve"> und </w:t>
            </w:r>
            <w:r>
              <w:t xml:space="preserve">Infos</w:t>
            </w:r>
            <w:r>
              <w:t xml:space="preserve"> </w:t>
            </w:r>
            <w:r>
              <w:t xml:space="preserve">vom</w:t>
            </w:r>
            <w:r>
              <w:t xml:space="preserve"> </w:t>
            </w:r>
            <w:r>
              <w:t xml:space="preserve">Fachmann</w:t>
            </w:r>
            <w:r>
              <w:t xml:space="preserve">.</w:t>
            </w:r>
            <w:r/>
          </w:p>
        </w:tc>
        <w:tc>
          <w:tcPr>
            <w:tcW w:w="1804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Battenberg-Gietl</w:t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/>
            <w:r/>
          </w:p>
          <w:p>
            <w:pPr>
              <w:jc w:val="left"/>
            </w:pPr>
            <w:r>
              <w:t xml:space="preserve">Regenstauf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2017. (ötödik kiadás)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hu-H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  <w:style w:type="table" w:styleId="605">
    <w:name w:val="Table Grid"/>
    <w:basedOn w:val="60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revision>16</cp:revision>
  <dcterms:created xsi:type="dcterms:W3CDTF">2022-04-22T07:28:00Z</dcterms:created>
  <dcterms:modified xsi:type="dcterms:W3CDTF">2022-05-31T22:40:06Z</dcterms:modified>
</cp:coreProperties>
</file>